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AB1C8" w14:textId="46D023C1" w:rsidR="00BC771C" w:rsidRPr="00446F9D" w:rsidRDefault="00BC771C" w:rsidP="00BC771C">
      <w:pPr>
        <w:pStyle w:val="Header"/>
        <w:tabs>
          <w:tab w:val="clear" w:pos="4536"/>
        </w:tabs>
        <w:rPr>
          <w:i/>
        </w:rPr>
      </w:pPr>
      <w:r>
        <w:t xml:space="preserve">3GPP </w:t>
      </w:r>
      <w:r w:rsidRPr="00446F9D">
        <w:t>TSG-RAN WG1</w:t>
      </w:r>
      <w:r>
        <w:t xml:space="preserve"> Ad hoc</w:t>
      </w:r>
      <w:r w:rsidR="00B23572">
        <w:t>_NR</w:t>
      </w:r>
      <w:r w:rsidRPr="00446F9D">
        <w:t xml:space="preserve"> </w:t>
      </w:r>
      <w:r>
        <w:t>Meeting</w:t>
      </w:r>
      <w:r w:rsidRPr="00446F9D">
        <w:tab/>
      </w:r>
      <w:r w:rsidRPr="00772E5C">
        <w:t>R1-1</w:t>
      </w:r>
      <w:r w:rsidR="00923E5B" w:rsidRPr="00772E5C">
        <w:t>7</w:t>
      </w:r>
      <w:r w:rsidR="00B857DA" w:rsidRPr="00772E5C">
        <w:t>01121</w:t>
      </w:r>
    </w:p>
    <w:p w14:paraId="16E31229" w14:textId="44519D28" w:rsidR="00BC771C" w:rsidRPr="000833FA" w:rsidRDefault="00BC771C" w:rsidP="00BC771C">
      <w:pPr>
        <w:pStyle w:val="Header"/>
        <w:rPr>
          <w:color w:val="000000"/>
        </w:rPr>
      </w:pPr>
      <w:r>
        <w:t>Spokane, USA, January 16 – 20, 2017</w:t>
      </w:r>
    </w:p>
    <w:p w14:paraId="203C73D5" w14:textId="77777777" w:rsidR="00BC771C" w:rsidRPr="000833FA" w:rsidRDefault="00BC771C" w:rsidP="00BC771C">
      <w:pPr>
        <w:pStyle w:val="Header"/>
      </w:pPr>
    </w:p>
    <w:p w14:paraId="4A346A0D" w14:textId="77777777" w:rsidR="00BC771C" w:rsidRPr="0003368D" w:rsidRDefault="00BC771C" w:rsidP="00BC771C">
      <w:pPr>
        <w:pStyle w:val="Header"/>
        <w:tabs>
          <w:tab w:val="clear" w:pos="4536"/>
          <w:tab w:val="left" w:pos="1800"/>
        </w:tabs>
        <w:ind w:left="1800" w:hanging="1800"/>
      </w:pPr>
      <w:r w:rsidRPr="0003368D">
        <w:t>Source:</w:t>
      </w:r>
      <w:r w:rsidRPr="0003368D">
        <w:tab/>
        <w:t>Ericsson</w:t>
      </w:r>
    </w:p>
    <w:p w14:paraId="57D54CFD" w14:textId="709AD769" w:rsidR="00BC771C" w:rsidRPr="00E220C0" w:rsidRDefault="00BC771C" w:rsidP="00BC771C">
      <w:pPr>
        <w:pStyle w:val="Header"/>
        <w:tabs>
          <w:tab w:val="clear" w:pos="4536"/>
          <w:tab w:val="left" w:pos="1800"/>
        </w:tabs>
      </w:pPr>
      <w:r w:rsidRPr="0003368D">
        <w:t>Title:</w:t>
      </w:r>
      <w:r w:rsidRPr="0003368D">
        <w:tab/>
      </w:r>
      <w:r w:rsidRPr="00A057EA">
        <w:t xml:space="preserve">On </w:t>
      </w:r>
      <w:r>
        <w:t>‘PCFICH-like’ Channels</w:t>
      </w:r>
    </w:p>
    <w:p w14:paraId="2CF75EB4" w14:textId="77777777" w:rsidR="00BC771C" w:rsidRPr="00E220C0" w:rsidRDefault="00BC771C" w:rsidP="00BC771C">
      <w:pPr>
        <w:pStyle w:val="Header"/>
        <w:tabs>
          <w:tab w:val="left" w:pos="1800"/>
        </w:tabs>
      </w:pPr>
      <w:r w:rsidRPr="00E220C0">
        <w:t>Agenda Item:</w:t>
      </w:r>
      <w:r w:rsidRPr="00E220C0">
        <w:tab/>
      </w:r>
      <w:r>
        <w:t>5.1.3.1</w:t>
      </w:r>
    </w:p>
    <w:p w14:paraId="28F8DC3C" w14:textId="77777777" w:rsidR="00BC771C" w:rsidRPr="0003368D" w:rsidRDefault="00BC771C" w:rsidP="00BC771C">
      <w:pPr>
        <w:pStyle w:val="Header"/>
        <w:tabs>
          <w:tab w:val="left" w:pos="1800"/>
        </w:tabs>
      </w:pPr>
      <w:r w:rsidRPr="00E220C0">
        <w:t>Document for:</w:t>
      </w:r>
      <w:r w:rsidRPr="0003368D">
        <w:tab/>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67628027" w:rsidR="00F618ED" w:rsidRDefault="00F618ED" w:rsidP="00F618ED">
      <w:pPr>
        <w:pStyle w:val="Heading1"/>
        <w:spacing w:before="180"/>
        <w:ind w:left="562" w:hanging="562"/>
      </w:pPr>
      <w:r>
        <w:t>Introduction</w:t>
      </w:r>
    </w:p>
    <w:p w14:paraId="48DB3E25" w14:textId="355349F3" w:rsidR="00620449" w:rsidRDefault="00620449" w:rsidP="00620449">
      <w:pPr>
        <w:pStyle w:val="BodyText"/>
      </w:pPr>
      <w:r>
        <w:t>In LTE, two types of L1/L2 control channels are used:</w:t>
      </w:r>
    </w:p>
    <w:p w14:paraId="19F431F8" w14:textId="70051352" w:rsidR="00620449" w:rsidRDefault="00620449" w:rsidP="00620449">
      <w:pPr>
        <w:pStyle w:val="BodyText"/>
        <w:numPr>
          <w:ilvl w:val="0"/>
          <w:numId w:val="23"/>
        </w:numPr>
      </w:pPr>
      <w:r>
        <w:t>unicast control channel (PDCCH or EPDCCH) containing scheduling information</w:t>
      </w:r>
    </w:p>
    <w:p w14:paraId="2732F13C" w14:textId="6080B259" w:rsidR="00620449" w:rsidRDefault="00620449" w:rsidP="00620449">
      <w:pPr>
        <w:pStyle w:val="BodyText"/>
        <w:numPr>
          <w:ilvl w:val="0"/>
          <w:numId w:val="23"/>
        </w:numPr>
      </w:pPr>
      <w:r>
        <w:t>broadcast control channel (PCFICH) required to be received by all UEs addressed in a subframe prior to decoding the PDCCH</w:t>
      </w:r>
    </w:p>
    <w:p w14:paraId="63383411" w14:textId="39F8795B" w:rsidR="00434CD6" w:rsidRDefault="00434CD6" w:rsidP="00434CD6">
      <w:pPr>
        <w:pStyle w:val="BodyText"/>
      </w:pPr>
      <w:r>
        <w:t xml:space="preserve">In this contribution we discuss </w:t>
      </w:r>
      <w:r w:rsidR="005D22F9">
        <w:t xml:space="preserve">our view on the need for broadcasted/common L1/L2 control channels and </w:t>
      </w:r>
      <w:r>
        <w:t>some issues around broadcasted</w:t>
      </w:r>
      <w:r w:rsidR="00D03E47">
        <w:t>/common</w:t>
      </w:r>
      <w:r>
        <w:t xml:space="preserve"> L1/</w:t>
      </w:r>
      <w:r w:rsidR="00211CEE">
        <w:t>L</w:t>
      </w:r>
      <w:r>
        <w:t>2 control channels in general and not only related to “PCFICH-like” signaling of the control region size</w:t>
      </w:r>
      <w:r w:rsidR="00D03E47">
        <w:t xml:space="preserve"> (a dynamic control region size can be achieved without explicit signaling of the size)</w:t>
      </w:r>
      <w:r>
        <w:t>.</w:t>
      </w:r>
    </w:p>
    <w:p w14:paraId="635F5223" w14:textId="079F286A" w:rsidR="004B1C8B" w:rsidRDefault="00230310" w:rsidP="00230310">
      <w:pPr>
        <w:pStyle w:val="Heading1"/>
        <w:spacing w:before="180"/>
        <w:ind w:left="562" w:hanging="562"/>
      </w:pPr>
      <w:r>
        <w:t>Discussion</w:t>
      </w:r>
    </w:p>
    <w:p w14:paraId="2E686B30" w14:textId="6FD73236" w:rsidR="005B2E74" w:rsidRDefault="005B2E74" w:rsidP="005B2E74">
      <w:pPr>
        <w:pStyle w:val="BodyText"/>
      </w:pPr>
      <w:r>
        <w:t xml:space="preserve">Firstly, we discuss the main objectives and functionalities that are </w:t>
      </w:r>
      <w:r w:rsidR="00B07802">
        <w:t>mentioned</w:t>
      </w:r>
      <w:r>
        <w:t xml:space="preserve"> by supporting a new physical common control channel.</w:t>
      </w:r>
    </w:p>
    <w:p w14:paraId="76E4DD29" w14:textId="341E329D" w:rsidR="005B2E74" w:rsidRDefault="005B2E74" w:rsidP="005B2E74">
      <w:pPr>
        <w:pStyle w:val="BodyText"/>
      </w:pPr>
      <w:r>
        <w:t xml:space="preserve">It is discussed that processing time improvement can be achieved by quickly decoding the common control channel prior to PDCCH decoding by </w:t>
      </w:r>
      <w:r w:rsidR="005D22F9">
        <w:t>providing slot format indicator</w:t>
      </w:r>
      <w:r w:rsidR="005D22F9">
        <w:fldChar w:fldCharType="begin"/>
      </w:r>
      <w:r w:rsidR="005D22F9">
        <w:instrText xml:space="preserve"> REF _Ref471419579 \n \h </w:instrText>
      </w:r>
      <w:r w:rsidR="005D22F9">
        <w:fldChar w:fldCharType="separate"/>
      </w:r>
      <w:r w:rsidR="005D22F9">
        <w:t>[1]</w:t>
      </w:r>
      <w:r w:rsidR="005D22F9">
        <w:fldChar w:fldCharType="end"/>
      </w:r>
      <w:r w:rsidR="005D22F9">
        <w:fldChar w:fldCharType="begin"/>
      </w:r>
      <w:r w:rsidR="005D22F9">
        <w:instrText xml:space="preserve"> REF _Ref471419446 \n \h </w:instrText>
      </w:r>
      <w:r w:rsidR="005D22F9">
        <w:fldChar w:fldCharType="separate"/>
      </w:r>
      <w:r w:rsidR="005D22F9">
        <w:t>[2]</w:t>
      </w:r>
      <w:r w:rsidR="005D22F9">
        <w:fldChar w:fldCharType="end"/>
      </w:r>
      <w:r>
        <w:t xml:space="preserve">. It seems that the UE still has to decode PDCCH to determine whether it is associated with the corresponding DL or UL transmission in that slot. So the only advantage seems to be early preparation of the processors related to DL reception or UL transmission in case </w:t>
      </w:r>
      <w:r w:rsidR="00211CEE">
        <w:t>they are</w:t>
      </w:r>
      <w:r>
        <w:t xml:space="preserve"> needed after PDCCH decoding. </w:t>
      </w:r>
      <w:r w:rsidR="005D22F9">
        <w:t>Hence f</w:t>
      </w:r>
      <w:r w:rsidR="00211CEE">
        <w:t xml:space="preserve">rom </w:t>
      </w:r>
      <w:r>
        <w:t>our point of view more clarifications are needed to justify the design of a new physical control channel.</w:t>
      </w:r>
    </w:p>
    <w:p w14:paraId="45056E19" w14:textId="1D7515B8" w:rsidR="005B2E74" w:rsidRDefault="005B2E74" w:rsidP="005B2E74">
      <w:pPr>
        <w:pStyle w:val="BodyText"/>
      </w:pPr>
      <w:r>
        <w:t>Additionally, it is suggested that broadcasting the slot format indicator is beneficial for mitigation of cross-link interference</w:t>
      </w:r>
      <w:r w:rsidR="005D22F9">
        <w:t xml:space="preserve"> </w:t>
      </w:r>
      <w:r w:rsidR="005D22F9">
        <w:fldChar w:fldCharType="begin"/>
      </w:r>
      <w:r w:rsidR="005D22F9">
        <w:instrText xml:space="preserve"> REF _Ref471419579 \n \h </w:instrText>
      </w:r>
      <w:r w:rsidR="005D22F9">
        <w:fldChar w:fldCharType="separate"/>
      </w:r>
      <w:r w:rsidR="005D22F9">
        <w:t>[1]</w:t>
      </w:r>
      <w:r w:rsidR="005D22F9">
        <w:fldChar w:fldCharType="end"/>
      </w:r>
      <w:r w:rsidR="005D22F9">
        <w:fldChar w:fldCharType="begin"/>
      </w:r>
      <w:r w:rsidR="005D22F9">
        <w:instrText xml:space="preserve"> REF _Ref471419446 \n \h </w:instrText>
      </w:r>
      <w:r w:rsidR="005D22F9">
        <w:fldChar w:fldCharType="separate"/>
      </w:r>
      <w:r w:rsidR="005D22F9">
        <w:t>[2]</w:t>
      </w:r>
      <w:r w:rsidR="005D22F9">
        <w:fldChar w:fldCharType="end"/>
      </w:r>
      <w:r w:rsidR="00181499">
        <w:t>.</w:t>
      </w:r>
      <w:r>
        <w:t xml:space="preserve"> To achieve this goal</w:t>
      </w:r>
      <w:r w:rsidR="00211CEE">
        <w:t>,</w:t>
      </w:r>
      <w:r>
        <w:t xml:space="preserve"> firstly</w:t>
      </w:r>
      <w:r w:rsidR="00211CEE">
        <w:t>,</w:t>
      </w:r>
      <w:r>
        <w:t xml:space="preserve"> detection of transmissions from other cells is important. That implies the UE has to receive and decode the common control signaling for different neighboring cells which may slightly increase the processing time. </w:t>
      </w:r>
      <w:r w:rsidR="00B07802">
        <w:t>Secondly, in order to take the neighboring cells activity into account, we need to ensure that this new channel is designed to penetrate far into neighboring cells which can be challenging. Finally</w:t>
      </w:r>
      <w:r>
        <w:t xml:space="preserve">, the investigation in our companion contributions shows that the impact of cross link interference for the deployment scenarios benefitting from dynamic TDD is </w:t>
      </w:r>
      <w:r w:rsidR="00211CEE">
        <w:t xml:space="preserve">either </w:t>
      </w:r>
      <w:r>
        <w:t>not a major issue</w:t>
      </w:r>
      <w:r w:rsidR="00164036">
        <w:t xml:space="preserve"> </w:t>
      </w:r>
      <w:r w:rsidR="00164036">
        <w:fldChar w:fldCharType="begin"/>
      </w:r>
      <w:r w:rsidR="00164036">
        <w:instrText xml:space="preserve"> REF _Ref471420015 \r \h </w:instrText>
      </w:r>
      <w:r w:rsidR="00164036">
        <w:fldChar w:fldCharType="separate"/>
      </w:r>
      <w:r w:rsidR="00164036">
        <w:t>[3]</w:t>
      </w:r>
      <w:r w:rsidR="00164036">
        <w:fldChar w:fldCharType="end"/>
      </w:r>
      <w:r w:rsidR="00164036">
        <w:fldChar w:fldCharType="begin"/>
      </w:r>
      <w:r w:rsidR="00164036">
        <w:instrText xml:space="preserve"> REF _Ref471752389 \n \h </w:instrText>
      </w:r>
      <w:r w:rsidR="00164036">
        <w:fldChar w:fldCharType="separate"/>
      </w:r>
      <w:r w:rsidR="00164036">
        <w:t>[4]</w:t>
      </w:r>
      <w:r w:rsidR="00164036">
        <w:fldChar w:fldCharType="end"/>
      </w:r>
      <w:r w:rsidR="00211CEE">
        <w:t xml:space="preserve"> or can be resolved using simple solutions such as distributed switching between dynamic and static TDD</w:t>
      </w:r>
      <w:r>
        <w:t xml:space="preserve">. </w:t>
      </w:r>
      <w:r w:rsidR="00211CEE">
        <w:t>Therefore</w:t>
      </w:r>
      <w:r>
        <w:t>, the need for design of a new physical control channel</w:t>
      </w:r>
      <w:r w:rsidR="00211CEE">
        <w:t xml:space="preserve"> is unclear</w:t>
      </w:r>
      <w:r>
        <w:t>.</w:t>
      </w:r>
    </w:p>
    <w:p w14:paraId="7C5D86D3" w14:textId="043DB699" w:rsidR="005B2E74" w:rsidRDefault="005B2E74" w:rsidP="005B2E74">
      <w:pPr>
        <w:pStyle w:val="BodyText"/>
      </w:pPr>
      <w:r>
        <w:t xml:space="preserve">Another </w:t>
      </w:r>
      <w:r w:rsidR="00211CEE">
        <w:t>cited benefit</w:t>
      </w:r>
      <w:r>
        <w:t xml:space="preserve"> is enabling dynamic variation of the control region by signaling the control region size. It is important to be reminded that t</w:t>
      </w:r>
      <w:r w:rsidRPr="00154D28">
        <w:t xml:space="preserve">he reason for a dynamically varying control region in LTE was to increase the amount of resources available for data when less than three OFDM symbols are required to meet the required control-channel capacity, taking into account that PDCCH and data is purely </w:t>
      </w:r>
      <w:r w:rsidR="00211CEE">
        <w:t>multiplexed in time</w:t>
      </w:r>
      <w:r w:rsidRPr="00154D28">
        <w:t xml:space="preserve"> in LTE. However, there </w:t>
      </w:r>
      <w:r w:rsidR="00B83D57">
        <w:t>are</w:t>
      </w:r>
      <w:r w:rsidRPr="00154D28">
        <w:t xml:space="preserve"> often </w:t>
      </w:r>
      <w:r w:rsidR="00B83D57">
        <w:t xml:space="preserve">some </w:t>
      </w:r>
      <w:r w:rsidR="00211CEE">
        <w:t>number</w:t>
      </w:r>
      <w:r w:rsidRPr="00154D28">
        <w:t xml:space="preserve"> of resource element</w:t>
      </w:r>
      <w:r w:rsidR="00211CEE">
        <w:t>s</w:t>
      </w:r>
      <w:r w:rsidRPr="00154D28">
        <w:t xml:space="preserve"> unused in the control region in LTE</w:t>
      </w:r>
      <w:r w:rsidRPr="0017372B">
        <w:t xml:space="preserve">. </w:t>
      </w:r>
      <w:r w:rsidRPr="005C1AD5">
        <w:t>O</w:t>
      </w:r>
      <w:r w:rsidRPr="00EB13C1">
        <w:t>n the other hand</w:t>
      </w:r>
      <w:r w:rsidRPr="00616376">
        <w:t>,</w:t>
      </w:r>
      <w:r w:rsidRPr="004C24A5">
        <w:t xml:space="preserve"> in NR the PDCCH candidates can be </w:t>
      </w:r>
      <w:r w:rsidR="00211CEE">
        <w:t>multiplexed</w:t>
      </w:r>
      <w:r w:rsidRPr="00514096">
        <w:t xml:space="preserve"> with data </w:t>
      </w:r>
      <w:r w:rsidR="003A6FD0">
        <w:t xml:space="preserve">potentially </w:t>
      </w:r>
      <w:r w:rsidR="00211CEE">
        <w:t xml:space="preserve">in frequency </w:t>
      </w:r>
      <w:r w:rsidR="003A6FD0">
        <w:t xml:space="preserve">within or outside </w:t>
      </w:r>
      <w:r w:rsidRPr="003631C4">
        <w:t xml:space="preserve"> the control resource sets.</w:t>
      </w:r>
    </w:p>
    <w:p w14:paraId="2B0A5360" w14:textId="0A432534" w:rsidR="005B2E74" w:rsidRPr="00877096" w:rsidRDefault="005B2E74" w:rsidP="005B2E74">
      <w:pPr>
        <w:pStyle w:val="BodyText"/>
      </w:pPr>
      <w:r w:rsidRPr="00877096">
        <w:t xml:space="preserve">Improving UE’s power saving is another </w:t>
      </w:r>
      <w:r w:rsidR="00B83D57">
        <w:t xml:space="preserve">cited </w:t>
      </w:r>
      <w:r w:rsidRPr="00877096">
        <w:t>objective for supporting common control signaling</w:t>
      </w:r>
      <w:r w:rsidR="00F47C53">
        <w:t xml:space="preserve"> </w:t>
      </w:r>
      <w:r w:rsidR="00F47C53">
        <w:fldChar w:fldCharType="begin"/>
      </w:r>
      <w:r w:rsidR="00F47C53">
        <w:instrText xml:space="preserve"> REF _Ref471419579 \n \h </w:instrText>
      </w:r>
      <w:r w:rsidR="00F47C53">
        <w:fldChar w:fldCharType="separate"/>
      </w:r>
      <w:r w:rsidR="00F47C53">
        <w:t>[1]</w:t>
      </w:r>
      <w:r w:rsidR="00F47C53">
        <w:fldChar w:fldCharType="end"/>
      </w:r>
      <w:r w:rsidR="00164036">
        <w:fldChar w:fldCharType="begin"/>
      </w:r>
      <w:r w:rsidR="00164036">
        <w:instrText xml:space="preserve"> REF _Ref471420124 \n \h </w:instrText>
      </w:r>
      <w:r w:rsidR="00164036">
        <w:fldChar w:fldCharType="separate"/>
      </w:r>
      <w:r w:rsidR="00164036">
        <w:t>[5]</w:t>
      </w:r>
      <w:r w:rsidR="00164036">
        <w:fldChar w:fldCharType="end"/>
      </w:r>
      <w:r w:rsidRPr="00877096">
        <w:t xml:space="preserve">. It is discussed that providing information such that a UE can determine if </w:t>
      </w:r>
      <w:r w:rsidR="00B83D57">
        <w:t xml:space="preserve">it </w:t>
      </w:r>
      <w:r w:rsidRPr="00877096">
        <w:t xml:space="preserve">will not be scheduled for coming slot(s) improves UE power saving as it is done in LAA with help of common PDCCH. However, it is important to note that if the intention is to enable non-scheduled UEs to save power, the combined information in both common control signaling and UE-specific PDDCH are needed. </w:t>
      </w:r>
      <w:r w:rsidR="0094076E">
        <w:t>And whether this requires less power with the presence of common control signaling depends on the design of the blind decode candidates within the control resource set and how/whether the number of blind decodes depends on the control resource set size.</w:t>
      </w:r>
    </w:p>
    <w:p w14:paraId="275BD3FA" w14:textId="3B16CD55" w:rsidR="005D22F9" w:rsidRDefault="005B2E74" w:rsidP="005B2E74">
      <w:pPr>
        <w:pStyle w:val="BodyText"/>
      </w:pPr>
      <w:r w:rsidRPr="00877096">
        <w:t xml:space="preserve">Other </w:t>
      </w:r>
      <w:r w:rsidR="00B83D57">
        <w:t>claimed benefits</w:t>
      </w:r>
      <w:r w:rsidRPr="00877096">
        <w:t xml:space="preserve"> </w:t>
      </w:r>
      <w:r w:rsidR="00B83D57">
        <w:t>include</w:t>
      </w:r>
      <w:r w:rsidRPr="00877096">
        <w:t xml:space="preserve"> dynamically signaling the presence of resources for reference signals or SR transmission </w:t>
      </w:r>
      <w:r w:rsidR="00B83D57">
        <w:t xml:space="preserve">which </w:t>
      </w:r>
      <w:r w:rsidRPr="00877096">
        <w:t xml:space="preserve">can be used </w:t>
      </w:r>
      <w:r w:rsidR="00B83D57">
        <w:t>by</w:t>
      </w:r>
      <w:r w:rsidRPr="00877096">
        <w:t xml:space="preserve"> non-scheduled users for different p</w:t>
      </w:r>
      <w:r w:rsidR="00B83D57">
        <w:t>ur</w:t>
      </w:r>
      <w:r w:rsidRPr="00877096">
        <w:t>poses such as interference measurements</w:t>
      </w:r>
      <w:r w:rsidR="00F47C53">
        <w:t xml:space="preserve"> </w:t>
      </w:r>
      <w:r w:rsidR="00F47C53">
        <w:fldChar w:fldCharType="begin"/>
      </w:r>
      <w:r w:rsidR="00F47C53">
        <w:instrText xml:space="preserve"> REF _Ref471419579 \n \h </w:instrText>
      </w:r>
      <w:r w:rsidR="00F47C53">
        <w:fldChar w:fldCharType="separate"/>
      </w:r>
      <w:r w:rsidR="00F47C53">
        <w:t>[1]</w:t>
      </w:r>
      <w:r w:rsidR="00F47C53">
        <w:fldChar w:fldCharType="end"/>
      </w:r>
      <w:r w:rsidR="00164036">
        <w:fldChar w:fldCharType="begin"/>
      </w:r>
      <w:r w:rsidR="00164036">
        <w:instrText xml:space="preserve"> REF _Ref471420124 \n \h </w:instrText>
      </w:r>
      <w:r w:rsidR="00164036">
        <w:fldChar w:fldCharType="separate"/>
      </w:r>
      <w:r w:rsidR="00164036">
        <w:t>[5]</w:t>
      </w:r>
      <w:r w:rsidR="00164036">
        <w:fldChar w:fldCharType="end"/>
      </w:r>
      <w:r w:rsidRPr="00877096">
        <w:t>. Similarly, dynamically signaling to UEs that some resources are reserved for other purposes enables the UE to adapt the corresponding procedures and the schedulers</w:t>
      </w:r>
      <w:r w:rsidR="00B83D57">
        <w:t xml:space="preserve"> at gNBs</w:t>
      </w:r>
      <w:r w:rsidRPr="00877096">
        <w:t xml:space="preserve"> to adapt the resource utilization based on </w:t>
      </w:r>
      <w:r w:rsidRPr="00877096">
        <w:lastRenderedPageBreak/>
        <w:t>the need for time-critical services</w:t>
      </w:r>
      <w:r w:rsidR="00F47C53">
        <w:t xml:space="preserve"> </w:t>
      </w:r>
      <w:r w:rsidR="00F47C53">
        <w:fldChar w:fldCharType="begin"/>
      </w:r>
      <w:r w:rsidR="00F47C53">
        <w:instrText xml:space="preserve"> REF _Ref471419579 \n \h </w:instrText>
      </w:r>
      <w:r w:rsidR="00F47C53">
        <w:fldChar w:fldCharType="separate"/>
      </w:r>
      <w:r w:rsidR="00F47C53">
        <w:t>[1]</w:t>
      </w:r>
      <w:r w:rsidR="00F47C53">
        <w:fldChar w:fldCharType="end"/>
      </w:r>
      <w:r w:rsidR="00164036">
        <w:fldChar w:fldCharType="begin"/>
      </w:r>
      <w:r w:rsidR="00164036">
        <w:instrText xml:space="preserve"> REF _Ref471420124 \n \h </w:instrText>
      </w:r>
      <w:r w:rsidR="00164036">
        <w:fldChar w:fldCharType="separate"/>
      </w:r>
      <w:r w:rsidR="00164036">
        <w:t>[5]</w:t>
      </w:r>
      <w:r w:rsidR="00164036">
        <w:fldChar w:fldCharType="end"/>
      </w:r>
      <w:r w:rsidRPr="00877096">
        <w:t>.</w:t>
      </w:r>
      <w:r>
        <w:t xml:space="preserve"> </w:t>
      </w:r>
      <w:r w:rsidR="003A012E">
        <w:t>Firstly, in a beamformed system it is apparent that this common control channel cannot be received by anyone. Then the important question is how it can then really be used to enable time critical information transfer for others.</w:t>
      </w:r>
      <w:r w:rsidR="003A012E" w:rsidRPr="003A012E">
        <w:t xml:space="preserve"> </w:t>
      </w:r>
      <w:r w:rsidR="003A012E">
        <w:t xml:space="preserve">Secondly, it is not clear if such functionalities are crucial for all the deployment scenarios to require designing a new control channel.  </w:t>
      </w:r>
      <w:r>
        <w:t>Moreover</w:t>
      </w:r>
      <w:r w:rsidR="005D22F9">
        <w:t>, it has to be ensured that</w:t>
      </w:r>
      <w:r>
        <w:t xml:space="preserve"> </w:t>
      </w:r>
      <w:r w:rsidR="005D22F9">
        <w:t xml:space="preserve">some of the objectives or functionalities are not realizable by </w:t>
      </w:r>
      <w:r>
        <w:t>alternative approaches</w:t>
      </w:r>
      <w:r w:rsidR="005D22F9">
        <w:t xml:space="preserve">. For example, reusing the </w:t>
      </w:r>
      <w:r>
        <w:t xml:space="preserve">PDCCH </w:t>
      </w:r>
      <w:r w:rsidR="005D22F9">
        <w:t xml:space="preserve">design and making it transparent to all or </w:t>
      </w:r>
      <w:r w:rsidR="00B83D57">
        <w:t xml:space="preserve">a </w:t>
      </w:r>
      <w:r w:rsidR="005D22F9">
        <w:t>group of UEs by using a common RNTI as in LAA, can be considered as an alternative approach to fulfill some of the objectives that are proven to be beneficial.</w:t>
      </w:r>
    </w:p>
    <w:p w14:paraId="5401500D" w14:textId="6495BC79" w:rsidR="005B2E74" w:rsidRPr="007C4B51" w:rsidRDefault="005D22F9" w:rsidP="005B2E74">
      <w:pPr>
        <w:pStyle w:val="BodyText"/>
      </w:pPr>
      <w:r>
        <w:t>Therefore, based on the above</w:t>
      </w:r>
      <w:r w:rsidR="005B2E74">
        <w:t xml:space="preserve"> </w:t>
      </w:r>
      <w:r>
        <w:t>discussion we make the following observation and proposal:</w:t>
      </w:r>
    </w:p>
    <w:p w14:paraId="5168E94C" w14:textId="77777777" w:rsidR="005B2E74" w:rsidRPr="003631C4" w:rsidRDefault="005B2E74" w:rsidP="005B2E74">
      <w:pPr>
        <w:pStyle w:val="BodyText"/>
        <w:rPr>
          <w:b/>
        </w:rPr>
      </w:pPr>
      <w:r w:rsidRPr="003631C4">
        <w:rPr>
          <w:b/>
        </w:rPr>
        <w:t>Observation:</w:t>
      </w:r>
    </w:p>
    <w:p w14:paraId="40CAFC00" w14:textId="77777777" w:rsidR="005B2E74" w:rsidRDefault="005B2E74" w:rsidP="005B2E74">
      <w:pPr>
        <w:pStyle w:val="BodyText"/>
        <w:numPr>
          <w:ilvl w:val="0"/>
          <w:numId w:val="37"/>
        </w:numPr>
      </w:pPr>
      <w:r>
        <w:t xml:space="preserve">The need for designing a new common control channel needs clear justifications. </w:t>
      </w:r>
    </w:p>
    <w:p w14:paraId="46325B59" w14:textId="15BBA871" w:rsidR="005B2E74" w:rsidRDefault="005B2E74" w:rsidP="005B2E74">
      <w:pPr>
        <w:pStyle w:val="BodyText"/>
        <w:numPr>
          <w:ilvl w:val="1"/>
          <w:numId w:val="37"/>
        </w:numPr>
      </w:pPr>
      <w:r>
        <w:t>Moreover, it is not clear that supporting a new common control channel is the only or the best approach for enabling some of the functionalities</w:t>
      </w:r>
      <w:r w:rsidR="00170380">
        <w:t xml:space="preserve"> that are claimed to be beneficial</w:t>
      </w:r>
      <w:r>
        <w:t>.</w:t>
      </w:r>
    </w:p>
    <w:p w14:paraId="14E74CE3" w14:textId="77777777" w:rsidR="005B2E74" w:rsidRPr="003631C4" w:rsidRDefault="005B2E74" w:rsidP="005B2E74">
      <w:pPr>
        <w:pStyle w:val="BodyText"/>
        <w:rPr>
          <w:b/>
        </w:rPr>
      </w:pPr>
      <w:r w:rsidRPr="003631C4">
        <w:rPr>
          <w:b/>
        </w:rPr>
        <w:t>Proposal:</w:t>
      </w:r>
    </w:p>
    <w:p w14:paraId="087D54FE" w14:textId="01A36CDE" w:rsidR="005B2E74" w:rsidRDefault="005B2E74" w:rsidP="005B2E74">
      <w:pPr>
        <w:pStyle w:val="BodyText"/>
        <w:numPr>
          <w:ilvl w:val="0"/>
          <w:numId w:val="37"/>
        </w:numPr>
      </w:pPr>
      <w:r>
        <w:t xml:space="preserve">Before designing a new common control channel, studies </w:t>
      </w:r>
      <w:r w:rsidR="00B857DA">
        <w:t>should be carried out to</w:t>
      </w:r>
      <w:r>
        <w:t xml:space="preserve"> justify the need for supporting such a channel.</w:t>
      </w:r>
    </w:p>
    <w:p w14:paraId="09A06B42" w14:textId="77777777" w:rsidR="005D22F9" w:rsidRDefault="005D22F9" w:rsidP="00616376">
      <w:pPr>
        <w:pStyle w:val="BodyText"/>
      </w:pPr>
    </w:p>
    <w:p w14:paraId="707B8427" w14:textId="05BB9DC6" w:rsidR="00616376" w:rsidRDefault="005B2E74" w:rsidP="00616376">
      <w:pPr>
        <w:pStyle w:val="BodyText"/>
      </w:pPr>
      <w:r>
        <w:t>Secondly,</w:t>
      </w:r>
      <w:r w:rsidR="00616376">
        <w:t xml:space="preserve"> we discuss our view on </w:t>
      </w:r>
      <w:r w:rsidR="004C24A5">
        <w:t>the aspects needed to be considered with respect to the beamforming operations in NR for the potential support of a</w:t>
      </w:r>
      <w:r w:rsidR="00616376">
        <w:t xml:space="preserve"> common control channel</w:t>
      </w:r>
      <w:r w:rsidR="004C24A5">
        <w:t>.</w:t>
      </w:r>
      <w:r w:rsidR="00616376">
        <w:t xml:space="preserve"> </w:t>
      </w:r>
    </w:p>
    <w:p w14:paraId="4B0BB085" w14:textId="6B7B4A44" w:rsidR="00434CD6" w:rsidRDefault="00434CD6" w:rsidP="00620449">
      <w:pPr>
        <w:pStyle w:val="BodyText"/>
      </w:pPr>
      <w:r>
        <w:t>One of the key features of NR is extensive support for beamforming operation across the full spectrum range, from below 1 GHz up to the mm-wave bands. To fully benefit from beamforming as a mean</w:t>
      </w:r>
      <w:r w:rsidR="00170380">
        <w:t>s</w:t>
      </w:r>
      <w:r>
        <w:t xml:space="preserve"> to extend coverage </w:t>
      </w:r>
      <w:r w:rsidR="00620449">
        <w:t xml:space="preserve">it should be possible to </w:t>
      </w:r>
      <w:r w:rsidR="00170380">
        <w:t xml:space="preserve">also </w:t>
      </w:r>
      <w:r w:rsidR="00620449">
        <w:t>beamform the control channels</w:t>
      </w:r>
      <w:r>
        <w:t>. This has been generally acknowledged in RAN1 a</w:t>
      </w:r>
      <w:r w:rsidR="00620449">
        <w:t>nd</w:t>
      </w:r>
      <w:r>
        <w:t xml:space="preserve"> is visible in decisions such as support for UE/PDCCH-specific DM-RS</w:t>
      </w:r>
    </w:p>
    <w:p w14:paraId="49F9EF7E" w14:textId="77777777" w:rsidR="004C24A5" w:rsidRDefault="00924E96" w:rsidP="005C1AD5">
      <w:pPr>
        <w:pStyle w:val="BodyText"/>
      </w:pPr>
      <w:r>
        <w:t>B</w:t>
      </w:r>
      <w:r w:rsidR="00434CD6">
        <w:t>roadcasted</w:t>
      </w:r>
      <w:r w:rsidR="00D03E47">
        <w:t>/common</w:t>
      </w:r>
      <w:r w:rsidR="00434CD6">
        <w:t xml:space="preserve"> control channels do not blend very well with extensive use of beamforming as at least all UEs addressed in the particular</w:t>
      </w:r>
      <w:r w:rsidR="00616376">
        <w:t xml:space="preserve"> </w:t>
      </w:r>
      <w:r w:rsidR="00434CD6">
        <w:t>slot (or set of slots depending on the information carried by the broadcasted</w:t>
      </w:r>
      <w:r w:rsidR="00D03E47">
        <w:t>/common</w:t>
      </w:r>
      <w:r w:rsidR="00434CD6">
        <w:t xml:space="preserve"> control channel)</w:t>
      </w:r>
      <w:r w:rsidR="00620449">
        <w:t xml:space="preserve"> need to receive the scheduling </w:t>
      </w:r>
      <w:r w:rsidR="00D53C00">
        <w:t>information</w:t>
      </w:r>
      <w:r>
        <w:t>. Either the broadcasted</w:t>
      </w:r>
      <w:r w:rsidR="00D03E47">
        <w:t>/common</w:t>
      </w:r>
      <w:r>
        <w:t xml:space="preserve"> channel has to be transmitted with a sufficiently high power to be received by all (scheduled) UEs or it has to be </w:t>
      </w:r>
      <w:r w:rsidR="00D03E47">
        <w:t>simultaneously beamformed in all directions where there is a UE requiring the broadcasted information (</w:t>
      </w:r>
      <w:r>
        <w:t>which may not be possible with analog beamforming</w:t>
      </w:r>
      <w:r w:rsidR="00D03E47">
        <w:t xml:space="preserve"> in all cases)</w:t>
      </w:r>
      <w:r>
        <w:t xml:space="preserve">. </w:t>
      </w:r>
    </w:p>
    <w:p w14:paraId="7DE9F74F" w14:textId="701BA01B" w:rsidR="00C43CDE" w:rsidRDefault="00D03E47" w:rsidP="005C1AD5">
      <w:pPr>
        <w:pStyle w:val="BodyText"/>
      </w:pPr>
      <w:r w:rsidRPr="00F47C53">
        <w:t>Therefore</w:t>
      </w:r>
      <w:r w:rsidR="00D53C00" w:rsidRPr="00F47C53">
        <w:t>,</w:t>
      </w:r>
      <w:r w:rsidRPr="00F47C53">
        <w:t xml:space="preserve"> it is suggested to avoid relying on broadcasted/common control channels </w:t>
      </w:r>
      <w:r w:rsidR="00F47C53">
        <w:t xml:space="preserve">(such as PCFICH) </w:t>
      </w:r>
      <w:r w:rsidRPr="00F47C53">
        <w:t>for downlink control signaling.</w:t>
      </w:r>
    </w:p>
    <w:p w14:paraId="47E013A3" w14:textId="40013ABC" w:rsidR="00FC1891" w:rsidRDefault="00FC1891" w:rsidP="00FC1891">
      <w:pPr>
        <w:pStyle w:val="BodyText"/>
        <w:rPr>
          <w:lang w:eastAsia="ja-JP"/>
        </w:rPr>
      </w:pPr>
      <w:r>
        <w:t xml:space="preserve">It has been suggested that the common </w:t>
      </w:r>
      <w:r w:rsidR="005C1AD5">
        <w:t>control</w:t>
      </w:r>
      <w:r>
        <w:t xml:space="preserve"> signaling can be beamformed similar to PBC</w:t>
      </w:r>
      <w:r w:rsidR="00F47C53">
        <w:t xml:space="preserve">H </w:t>
      </w:r>
      <w:r w:rsidR="00F47C53">
        <w:fldChar w:fldCharType="begin"/>
      </w:r>
      <w:r w:rsidR="00F47C53">
        <w:instrText xml:space="preserve"> REF _Ref471419579 \n \h </w:instrText>
      </w:r>
      <w:r w:rsidR="00F47C53">
        <w:fldChar w:fldCharType="separate"/>
      </w:r>
      <w:r w:rsidR="00F47C53">
        <w:t>[1]</w:t>
      </w:r>
      <w:r w:rsidR="00F47C53">
        <w:fldChar w:fldCharType="end"/>
      </w:r>
      <w:r>
        <w:t>.</w:t>
      </w:r>
      <w:r w:rsidRPr="00FC1891">
        <w:rPr>
          <w:lang w:eastAsia="ja-JP"/>
        </w:rPr>
        <w:t xml:space="preserve"> </w:t>
      </w:r>
      <w:r>
        <w:rPr>
          <w:lang w:eastAsia="ja-JP"/>
        </w:rPr>
        <w:t>More detailed studies are needed to investigate the benefits of this approach</w:t>
      </w:r>
      <w:r w:rsidR="005C1AD5">
        <w:rPr>
          <w:lang w:eastAsia="ja-JP"/>
        </w:rPr>
        <w:t xml:space="preserve">. One </w:t>
      </w:r>
      <w:r w:rsidR="00E50002">
        <w:rPr>
          <w:lang w:eastAsia="ja-JP"/>
        </w:rPr>
        <w:t>consideration</w:t>
      </w:r>
      <w:r w:rsidR="005C1AD5">
        <w:rPr>
          <w:lang w:eastAsia="ja-JP"/>
        </w:rPr>
        <w:t xml:space="preserve"> i</w:t>
      </w:r>
      <w:r w:rsidR="00181499">
        <w:rPr>
          <w:lang w:eastAsia="ja-JP"/>
        </w:rPr>
        <w:t>s</w:t>
      </w:r>
      <w:r w:rsidR="005C1AD5">
        <w:rPr>
          <w:lang w:eastAsia="ja-JP"/>
        </w:rPr>
        <w:t xml:space="preserve"> the impact o</w:t>
      </w:r>
      <w:r w:rsidR="00E50002">
        <w:rPr>
          <w:lang w:eastAsia="ja-JP"/>
        </w:rPr>
        <w:t>n</w:t>
      </w:r>
      <w:r w:rsidR="005C1AD5">
        <w:rPr>
          <w:lang w:eastAsia="ja-JP"/>
        </w:rPr>
        <w:t xml:space="preserve"> </w:t>
      </w:r>
      <w:r w:rsidR="00B857DA">
        <w:rPr>
          <w:lang w:eastAsia="ja-JP"/>
        </w:rPr>
        <w:t>delay</w:t>
      </w:r>
      <w:r w:rsidR="005C1AD5">
        <w:rPr>
          <w:lang w:eastAsia="ja-JP"/>
        </w:rPr>
        <w:t xml:space="preserve"> introduced due to beam sweeping</w:t>
      </w:r>
      <w:r w:rsidR="00E50002">
        <w:rPr>
          <w:lang w:eastAsia="ja-JP"/>
        </w:rPr>
        <w:t>.</w:t>
      </w:r>
      <w:r>
        <w:rPr>
          <w:lang w:eastAsia="ja-JP"/>
        </w:rPr>
        <w:t>.</w:t>
      </w:r>
    </w:p>
    <w:p w14:paraId="7A5E30E6" w14:textId="7FB58AFC" w:rsidR="00FC1891" w:rsidRDefault="005C1AD5" w:rsidP="00FC1891">
      <w:pPr>
        <w:pStyle w:val="BodyText"/>
        <w:rPr>
          <w:lang w:eastAsia="ja-JP"/>
        </w:rPr>
      </w:pPr>
      <w:r>
        <w:rPr>
          <w:lang w:eastAsia="ja-JP"/>
        </w:rPr>
        <w:t>Moreover, i</w:t>
      </w:r>
      <w:r w:rsidR="00FC1891">
        <w:rPr>
          <w:lang w:eastAsia="ja-JP"/>
        </w:rPr>
        <w:t xml:space="preserve">n case of analog beamforming, all the UEs </w:t>
      </w:r>
      <w:r w:rsidR="00126173">
        <w:rPr>
          <w:lang w:eastAsia="ja-JP"/>
        </w:rPr>
        <w:t xml:space="preserve">being addressed by the broadcast/common control channel </w:t>
      </w:r>
      <w:r w:rsidR="00FC1891">
        <w:rPr>
          <w:lang w:eastAsia="ja-JP"/>
        </w:rPr>
        <w:t xml:space="preserve">should be on the same beam. In order to support signaling the UE specific and common control signaling </w:t>
      </w:r>
      <w:r w:rsidR="00B857DA">
        <w:rPr>
          <w:lang w:eastAsia="ja-JP"/>
        </w:rPr>
        <w:t xml:space="preserve">in </w:t>
      </w:r>
      <w:r w:rsidR="00FC1891">
        <w:rPr>
          <w:lang w:eastAsia="ja-JP"/>
        </w:rPr>
        <w:t>the same OFDM symbol the UE with UE specific PDCCH should be on the same beam as the UEs with common PDCCH. That eventually limits th</w:t>
      </w:r>
      <w:r>
        <w:rPr>
          <w:lang w:eastAsia="ja-JP"/>
        </w:rPr>
        <w:t xml:space="preserve">e </w:t>
      </w:r>
      <w:r w:rsidR="00126173">
        <w:rPr>
          <w:lang w:eastAsia="ja-JP"/>
        </w:rPr>
        <w:t xml:space="preserve">benefits of the common </w:t>
      </w:r>
      <w:r>
        <w:rPr>
          <w:lang w:eastAsia="ja-JP"/>
        </w:rPr>
        <w:t>control channel to</w:t>
      </w:r>
      <w:r w:rsidR="0094076E">
        <w:rPr>
          <w:lang w:eastAsia="ja-JP"/>
        </w:rPr>
        <w:t xml:space="preserve"> the small group</w:t>
      </w:r>
      <w:r w:rsidR="00126173">
        <w:rPr>
          <w:lang w:eastAsia="ja-JP"/>
        </w:rPr>
        <w:t xml:space="preserve"> of UEs that are addressed in the beam</w:t>
      </w:r>
      <w:r w:rsidR="0094076E">
        <w:rPr>
          <w:lang w:eastAsia="ja-JP"/>
        </w:rPr>
        <w:t xml:space="preserve"> which makes the common control channel group specific</w:t>
      </w:r>
      <w:r w:rsidR="00FC1891">
        <w:rPr>
          <w:lang w:eastAsia="ja-JP"/>
        </w:rPr>
        <w:t>.</w:t>
      </w:r>
      <w:r w:rsidR="0094076E">
        <w:rPr>
          <w:lang w:eastAsia="ja-JP"/>
        </w:rPr>
        <w:t xml:space="preserve"> However, this group may be a quite small subset of the UEs being served.</w:t>
      </w:r>
      <w:r>
        <w:rPr>
          <w:lang w:eastAsia="ja-JP"/>
        </w:rPr>
        <w:t xml:space="preserve"> Alternatively the UE specific PDDCH should not coincide </w:t>
      </w:r>
      <w:r w:rsidR="009366A8">
        <w:rPr>
          <w:lang w:eastAsia="ja-JP"/>
        </w:rPr>
        <w:t xml:space="preserve">with </w:t>
      </w:r>
      <w:r>
        <w:rPr>
          <w:lang w:eastAsia="ja-JP"/>
        </w:rPr>
        <w:t xml:space="preserve">the common control signaling </w:t>
      </w:r>
      <w:r w:rsidR="009366A8">
        <w:rPr>
          <w:lang w:eastAsia="ja-JP"/>
        </w:rPr>
        <w:t xml:space="preserve">in time </w:t>
      </w:r>
      <w:r>
        <w:rPr>
          <w:lang w:eastAsia="ja-JP"/>
        </w:rPr>
        <w:t xml:space="preserve">which introduces additional delay. </w:t>
      </w:r>
    </w:p>
    <w:p w14:paraId="72ACC3B5" w14:textId="1C60FAC2" w:rsidR="00FC1891" w:rsidRPr="00434CD6" w:rsidRDefault="00FC1891" w:rsidP="00FC1891">
      <w:pPr>
        <w:pStyle w:val="BodyText"/>
        <w:rPr>
          <w:lang w:eastAsia="ja-JP"/>
        </w:rPr>
      </w:pPr>
      <w:r>
        <w:rPr>
          <w:lang w:eastAsia="ja-JP"/>
        </w:rPr>
        <w:t>In case of</w:t>
      </w:r>
      <w:r w:rsidR="005C1AD5">
        <w:rPr>
          <w:lang w:eastAsia="ja-JP"/>
        </w:rPr>
        <w:t xml:space="preserve"> digital beamforming</w:t>
      </w:r>
      <w:r>
        <w:rPr>
          <w:lang w:eastAsia="ja-JP"/>
        </w:rPr>
        <w:t xml:space="preserve">, it is more efficient to beamform the </w:t>
      </w:r>
      <w:r w:rsidR="005C1AD5">
        <w:rPr>
          <w:lang w:eastAsia="ja-JP"/>
        </w:rPr>
        <w:t>UEs individually</w:t>
      </w:r>
      <w:r>
        <w:rPr>
          <w:lang w:eastAsia="ja-JP"/>
        </w:rPr>
        <w:t xml:space="preserve"> to achieve the beamforming gain which implies the total power per beam is reduced due to signaling multiple UEs simultaneously. That would affect the performance of the beamformed UE specific PDCCH as well. Studies ha</w:t>
      </w:r>
      <w:r w:rsidR="009366A8">
        <w:rPr>
          <w:lang w:eastAsia="ja-JP"/>
        </w:rPr>
        <w:t>ve</w:t>
      </w:r>
      <w:r>
        <w:rPr>
          <w:lang w:eastAsia="ja-JP"/>
        </w:rPr>
        <w:t xml:space="preserve"> to be performed </w:t>
      </w:r>
      <w:r w:rsidR="009366A8">
        <w:rPr>
          <w:lang w:eastAsia="ja-JP"/>
        </w:rPr>
        <w:t>to determine whether</w:t>
      </w:r>
      <w:r>
        <w:rPr>
          <w:lang w:eastAsia="ja-JP"/>
        </w:rPr>
        <w:t xml:space="preserve"> the </w:t>
      </w:r>
      <w:r w:rsidR="009366A8">
        <w:rPr>
          <w:lang w:eastAsia="ja-JP"/>
        </w:rPr>
        <w:t xml:space="preserve">reduced </w:t>
      </w:r>
      <w:r>
        <w:rPr>
          <w:lang w:eastAsia="ja-JP"/>
        </w:rPr>
        <w:t xml:space="preserve">beamforming gains are </w:t>
      </w:r>
      <w:r w:rsidR="009366A8">
        <w:rPr>
          <w:lang w:eastAsia="ja-JP"/>
        </w:rPr>
        <w:t>sufficient</w:t>
      </w:r>
      <w:r>
        <w:rPr>
          <w:lang w:eastAsia="ja-JP"/>
        </w:rPr>
        <w:t>.</w:t>
      </w:r>
    </w:p>
    <w:p w14:paraId="0331A3CE" w14:textId="765201AA" w:rsidR="00616376" w:rsidRDefault="00616376" w:rsidP="00434CD6">
      <w:pPr>
        <w:pStyle w:val="BodyText"/>
      </w:pPr>
      <w:r>
        <w:t>Therefore</w:t>
      </w:r>
      <w:r w:rsidR="004E3B08">
        <w:t>,</w:t>
      </w:r>
      <w:r>
        <w:t xml:space="preserve"> it is important to investigate whether the expected </w:t>
      </w:r>
      <w:r w:rsidR="00285078">
        <w:t>benefits</w:t>
      </w:r>
      <w:r>
        <w:t xml:space="preserve"> are still achieved and the design of a new common control channel is well justified.</w:t>
      </w:r>
    </w:p>
    <w:p w14:paraId="5F29DDA1" w14:textId="14DB0419" w:rsidR="004E3B08" w:rsidRDefault="004E3B08" w:rsidP="00514096">
      <w:pPr>
        <w:pStyle w:val="BodyText"/>
      </w:pPr>
      <w:r>
        <w:t>Based on the above discussion we observe and propose the following:</w:t>
      </w:r>
    </w:p>
    <w:p w14:paraId="3F1A9BC1" w14:textId="3344DF2D" w:rsidR="00514096" w:rsidRPr="00F47C53" w:rsidRDefault="00514096" w:rsidP="00514096">
      <w:pPr>
        <w:pStyle w:val="BodyText"/>
        <w:rPr>
          <w:b/>
        </w:rPr>
      </w:pPr>
      <w:r w:rsidRPr="00F47C53">
        <w:rPr>
          <w:b/>
        </w:rPr>
        <w:t>Observation</w:t>
      </w:r>
      <w:r w:rsidR="000F370E">
        <w:rPr>
          <w:b/>
        </w:rPr>
        <w:t>s</w:t>
      </w:r>
      <w:r w:rsidRPr="00F47C53">
        <w:rPr>
          <w:b/>
        </w:rPr>
        <w:t>:</w:t>
      </w:r>
    </w:p>
    <w:p w14:paraId="3DBB78FF" w14:textId="371D56A0" w:rsidR="00514096" w:rsidRDefault="00B47915" w:rsidP="00877096">
      <w:pPr>
        <w:pStyle w:val="BodyText"/>
        <w:numPr>
          <w:ilvl w:val="0"/>
          <w:numId w:val="37"/>
        </w:numPr>
      </w:pPr>
      <w:r>
        <w:t xml:space="preserve">The </w:t>
      </w:r>
      <w:r w:rsidR="00342FAC">
        <w:t>benefit</w:t>
      </w:r>
      <w:r>
        <w:t xml:space="preserve"> of a physical downlink common control channel </w:t>
      </w:r>
      <w:r w:rsidR="00342FAC">
        <w:t>is questionable</w:t>
      </w:r>
      <w:r>
        <w:t xml:space="preserve"> </w:t>
      </w:r>
      <w:r w:rsidR="002F021B">
        <w:t>with t</w:t>
      </w:r>
      <w:r w:rsidR="004E3B08">
        <w:t>h</w:t>
      </w:r>
      <w:r w:rsidR="002F021B">
        <w:t>e use of beamforming</w:t>
      </w:r>
      <w:r w:rsidR="004E3B08">
        <w:t xml:space="preserve">. </w:t>
      </w:r>
    </w:p>
    <w:p w14:paraId="49D34BC4" w14:textId="4FDC2CE2" w:rsidR="00F47C53" w:rsidRDefault="00860EF4" w:rsidP="00F47C53">
      <w:pPr>
        <w:pStyle w:val="BodyText"/>
        <w:numPr>
          <w:ilvl w:val="0"/>
          <w:numId w:val="37"/>
        </w:numPr>
      </w:pPr>
      <w:r>
        <w:lastRenderedPageBreak/>
        <w:t xml:space="preserve">It is not justified to mandate the usage of a physical downlink </w:t>
      </w:r>
      <w:r w:rsidR="00F47C53" w:rsidRPr="00F47C53">
        <w:t xml:space="preserve">common control channel </w:t>
      </w:r>
      <w:r w:rsidR="00F47C53">
        <w:t>(such as PCFICH)</w:t>
      </w:r>
      <w:r w:rsidR="00285078">
        <w:t xml:space="preserve"> even if such a channel is defined</w:t>
      </w:r>
      <w:r>
        <w:t xml:space="preserve"> </w:t>
      </w:r>
    </w:p>
    <w:p w14:paraId="62153F4A" w14:textId="5F1E99CB" w:rsidR="000F370E" w:rsidRPr="000F370E" w:rsidRDefault="000F370E" w:rsidP="000F370E">
      <w:pPr>
        <w:pStyle w:val="BodyText"/>
        <w:rPr>
          <w:b/>
        </w:rPr>
      </w:pPr>
      <w:r w:rsidRPr="000F370E">
        <w:rPr>
          <w:b/>
        </w:rPr>
        <w:t>Proposal:</w:t>
      </w:r>
    </w:p>
    <w:p w14:paraId="362D17A7" w14:textId="02054790" w:rsidR="004C24A5" w:rsidRDefault="00285078" w:rsidP="00877096">
      <w:pPr>
        <w:pStyle w:val="BodyText"/>
        <w:numPr>
          <w:ilvl w:val="0"/>
          <w:numId w:val="37"/>
        </w:numPr>
      </w:pPr>
      <w:r>
        <w:t>A new physical downlink common control channel should not be defined for NR unless more studies</w:t>
      </w:r>
      <w:r w:rsidR="00514096">
        <w:t xml:space="preserve"> </w:t>
      </w:r>
      <w:r>
        <w:t xml:space="preserve">are performed </w:t>
      </w:r>
      <w:r w:rsidR="00514096">
        <w:t xml:space="preserve">to </w:t>
      </w:r>
      <w:r w:rsidR="004C24A5">
        <w:t xml:space="preserve">ensure </w:t>
      </w:r>
      <w:r w:rsidR="00514096">
        <w:t xml:space="preserve">that </w:t>
      </w:r>
      <w:r w:rsidR="002A5567">
        <w:t>operating with</w:t>
      </w:r>
      <w:r w:rsidR="004C24A5">
        <w:t xml:space="preserve"> </w:t>
      </w:r>
      <w:r w:rsidR="009659E5">
        <w:t xml:space="preserve">such </w:t>
      </w:r>
      <w:r w:rsidR="004C24A5">
        <w:t>a channel</w:t>
      </w:r>
      <w:r>
        <w:t xml:space="preserve"> provides the cited benefits in a system utilizing </w:t>
      </w:r>
      <w:r w:rsidR="00514096">
        <w:t>beamforming</w:t>
      </w:r>
      <w:r w:rsidR="004C24A5">
        <w:t>.</w:t>
      </w:r>
    </w:p>
    <w:p w14:paraId="6C29E7D7" w14:textId="6586D201" w:rsidR="00860EF4" w:rsidRDefault="00285078" w:rsidP="00877096">
      <w:pPr>
        <w:pStyle w:val="BodyText"/>
        <w:numPr>
          <w:ilvl w:val="0"/>
          <w:numId w:val="37"/>
        </w:numPr>
      </w:pPr>
      <w:r>
        <w:t>A</w:t>
      </w:r>
      <w:r w:rsidR="00860EF4">
        <w:t xml:space="preserve"> physical downlink common control channel should not be mandated</w:t>
      </w:r>
      <w:r>
        <w:t xml:space="preserve"> for the operation of NR</w:t>
      </w:r>
      <w:r w:rsidR="00860EF4">
        <w:t>.</w:t>
      </w:r>
    </w:p>
    <w:p w14:paraId="6C34731C" w14:textId="53BD6846" w:rsidR="00DA7D33" w:rsidRDefault="00DA7D33" w:rsidP="00DA7D33">
      <w:pPr>
        <w:pStyle w:val="Heading1"/>
        <w:spacing w:before="180"/>
        <w:ind w:left="562" w:hanging="562"/>
      </w:pPr>
      <w:r>
        <w:t>Conclusion</w:t>
      </w:r>
    </w:p>
    <w:p w14:paraId="24561A66" w14:textId="00336CC0" w:rsidR="00D03E47" w:rsidRDefault="00F47C53" w:rsidP="00D03E47">
      <w:pPr>
        <w:pStyle w:val="BodyText"/>
      </w:pPr>
      <w:r>
        <w:t xml:space="preserve">In this contribution we have discussed the need and the issues for designing </w:t>
      </w:r>
      <w:r w:rsidR="007C4B51">
        <w:t xml:space="preserve">a </w:t>
      </w:r>
      <w:r w:rsidR="00D03E47">
        <w:t xml:space="preserve">broadcasted/common </w:t>
      </w:r>
      <w:r w:rsidR="00D53C00">
        <w:t xml:space="preserve">L1/L2 </w:t>
      </w:r>
      <w:r w:rsidR="00D03E47">
        <w:t>control channels</w:t>
      </w:r>
      <w:r w:rsidR="00D11328">
        <w:t xml:space="preserve"> (such as PCFICH)</w:t>
      </w:r>
      <w:r w:rsidR="00D03E47">
        <w:t xml:space="preserve"> for downlink control signaling.</w:t>
      </w:r>
      <w:r w:rsidR="007C4B51">
        <w:t xml:space="preserve"> Based on the discussions we mad</w:t>
      </w:r>
      <w:r w:rsidR="00535A76">
        <w:t>e the following</w:t>
      </w:r>
      <w:r w:rsidR="007C4B51">
        <w:t xml:space="preserve"> proposals:</w:t>
      </w:r>
    </w:p>
    <w:p w14:paraId="3DB89E8C" w14:textId="7208E419" w:rsidR="007C4B51" w:rsidRPr="00CF3CCA" w:rsidRDefault="007C4B51" w:rsidP="007C4B51">
      <w:pPr>
        <w:pStyle w:val="BodyText"/>
        <w:rPr>
          <w:b/>
        </w:rPr>
      </w:pPr>
      <w:r w:rsidRPr="00CF3CCA">
        <w:rPr>
          <w:b/>
        </w:rPr>
        <w:t>Proposal</w:t>
      </w:r>
      <w:r w:rsidR="000F370E">
        <w:rPr>
          <w:b/>
        </w:rPr>
        <w:t>s</w:t>
      </w:r>
      <w:r w:rsidRPr="00CF3CCA">
        <w:rPr>
          <w:b/>
        </w:rPr>
        <w:t>:</w:t>
      </w:r>
    </w:p>
    <w:p w14:paraId="3EF0F4BA" w14:textId="7482930A" w:rsidR="007C4B51" w:rsidRDefault="007C4B51" w:rsidP="007C4B51">
      <w:pPr>
        <w:pStyle w:val="BodyText"/>
        <w:numPr>
          <w:ilvl w:val="0"/>
          <w:numId w:val="37"/>
        </w:numPr>
      </w:pPr>
      <w:r>
        <w:t>Before designing a new common control channel, studies should be carried out to clearly justify the need for supporting such a channel.</w:t>
      </w:r>
    </w:p>
    <w:p w14:paraId="3E121EC3" w14:textId="04127D89" w:rsidR="0007006D" w:rsidRDefault="0007006D" w:rsidP="0007006D">
      <w:pPr>
        <w:pStyle w:val="BodyText"/>
        <w:numPr>
          <w:ilvl w:val="0"/>
          <w:numId w:val="37"/>
        </w:numPr>
      </w:pPr>
      <w:r>
        <w:t>A new physical downlink common control channel should not be defined for NR unless more studies are performed to ensure that operating with such a channel provides the cited benefits in a system utilizing beamforming.</w:t>
      </w:r>
    </w:p>
    <w:p w14:paraId="0E8FCF58" w14:textId="5832F6BB" w:rsidR="0007006D" w:rsidRDefault="0007006D" w:rsidP="0007006D">
      <w:pPr>
        <w:pStyle w:val="BodyText"/>
        <w:numPr>
          <w:ilvl w:val="0"/>
          <w:numId w:val="37"/>
        </w:numPr>
      </w:pPr>
      <w:r>
        <w:t>A physical downlink common control channel should not be mandated for the operation of NR.</w:t>
      </w:r>
    </w:p>
    <w:p w14:paraId="0072155E" w14:textId="77777777" w:rsidR="00860EF4" w:rsidRDefault="00860EF4" w:rsidP="00772E5C">
      <w:pPr>
        <w:pStyle w:val="BodyText"/>
        <w:ind w:left="360"/>
      </w:pPr>
    </w:p>
    <w:p w14:paraId="665C7A88" w14:textId="37408201" w:rsidR="00BF3253" w:rsidRDefault="00BF3253" w:rsidP="00BF3253">
      <w:pPr>
        <w:pStyle w:val="Heading1"/>
        <w:numPr>
          <w:ilvl w:val="0"/>
          <w:numId w:val="0"/>
        </w:numPr>
        <w:ind w:left="567" w:hanging="567"/>
      </w:pPr>
      <w:r>
        <w:t>References</w:t>
      </w:r>
      <w:r w:rsidR="007C4B51">
        <w:t xml:space="preserve"> </w:t>
      </w:r>
    </w:p>
    <w:p w14:paraId="2FDA234D" w14:textId="3BE68239" w:rsidR="005C1AD5" w:rsidRPr="00923E5B" w:rsidRDefault="00315C6B" w:rsidP="00BF3253">
      <w:pPr>
        <w:pStyle w:val="Reference"/>
        <w:rPr>
          <w:rFonts w:ascii="Times New Roman" w:hAnsi="Times New Roman"/>
        </w:rPr>
      </w:pPr>
      <w:bookmarkStart w:id="0" w:name="_Ref471419579"/>
      <w:r w:rsidRPr="00923E5B">
        <w:rPr>
          <w:rFonts w:ascii="Times New Roman" w:hAnsi="Times New Roman"/>
        </w:rPr>
        <w:t>R1-1612908</w:t>
      </w:r>
      <w:r w:rsidRPr="00923E5B">
        <w:rPr>
          <w:rFonts w:ascii="Times New Roman" w:hAnsi="Times New Roman"/>
        </w:rPr>
        <w:tab/>
        <w:t xml:space="preserve">Summary of e-mail discussions on downlink control </w:t>
      </w:r>
      <w:r w:rsidR="005D22F9">
        <w:rPr>
          <w:rFonts w:ascii="Times New Roman" w:hAnsi="Times New Roman"/>
        </w:rPr>
        <w:t>signal</w:t>
      </w:r>
      <w:r w:rsidR="005D22F9" w:rsidRPr="00923E5B">
        <w:rPr>
          <w:rFonts w:ascii="Times New Roman" w:hAnsi="Times New Roman"/>
        </w:rPr>
        <w:t>ing</w:t>
      </w:r>
      <w:r w:rsidRPr="00923E5B">
        <w:rPr>
          <w:rFonts w:ascii="Times New Roman" w:hAnsi="Times New Roman"/>
        </w:rPr>
        <w:t>; Ericsson</w:t>
      </w:r>
      <w:bookmarkEnd w:id="0"/>
    </w:p>
    <w:p w14:paraId="568E9627" w14:textId="7F01005A" w:rsidR="00234C4F" w:rsidRPr="005D22F9" w:rsidRDefault="0062578F" w:rsidP="00BF3253">
      <w:pPr>
        <w:pStyle w:val="Reference"/>
        <w:rPr>
          <w:rFonts w:ascii="Times New Roman" w:hAnsi="Times New Roman"/>
        </w:rPr>
      </w:pPr>
      <w:bookmarkStart w:id="1" w:name="_Ref471419446"/>
      <w:r w:rsidRPr="00772E5C">
        <w:rPr>
          <w:rFonts w:ascii="Times New Roman" w:eastAsia="MS Mincho" w:hAnsi="Times New Roman"/>
          <w:lang w:val="en-US" w:eastAsia="ja-JP"/>
        </w:rPr>
        <w:t>R1-1612062</w:t>
      </w:r>
      <w:r w:rsidRPr="00923E5B">
        <w:rPr>
          <w:rFonts w:ascii="Times New Roman" w:eastAsia="MS Mincho" w:hAnsi="Times New Roman"/>
          <w:lang w:val="en-US" w:eastAsia="ja-JP"/>
        </w:rPr>
        <w:tab/>
        <w:t>Control channel for slot format indicator;</w:t>
      </w:r>
      <w:r w:rsidR="00315C6B" w:rsidRPr="00923E5B">
        <w:rPr>
          <w:rFonts w:ascii="Times New Roman" w:eastAsia="MS Mincho" w:hAnsi="Times New Roman"/>
          <w:lang w:val="en-US" w:eastAsia="ja-JP"/>
        </w:rPr>
        <w:t xml:space="preserve"> </w:t>
      </w:r>
      <w:r w:rsidRPr="00923E5B">
        <w:rPr>
          <w:rFonts w:ascii="Times New Roman" w:eastAsia="MS Mincho" w:hAnsi="Times New Roman"/>
          <w:lang w:val="en-US" w:eastAsia="ja-JP"/>
        </w:rPr>
        <w:t>Qualcomm Incorporated</w:t>
      </w:r>
      <w:bookmarkEnd w:id="1"/>
    </w:p>
    <w:p w14:paraId="7BB56E34" w14:textId="3564BDDF" w:rsidR="005D22F9" w:rsidRPr="00164036" w:rsidRDefault="00164036" w:rsidP="00BF3253">
      <w:pPr>
        <w:pStyle w:val="Reference"/>
        <w:rPr>
          <w:rFonts w:ascii="Times New Roman" w:hAnsi="Times New Roman"/>
        </w:rPr>
      </w:pPr>
      <w:bookmarkStart w:id="2" w:name="_Ref471420015"/>
      <w:r w:rsidRPr="00772E5C">
        <w:rPr>
          <w:rFonts w:ascii="Times New Roman" w:hAnsi="Times New Roman"/>
        </w:rPr>
        <w:t>R1-1701129</w:t>
      </w:r>
      <w:r w:rsidR="005D22F9" w:rsidRPr="00772E5C">
        <w:rPr>
          <w:rFonts w:ascii="Times New Roman" w:hAnsi="Times New Roman"/>
        </w:rPr>
        <w:tab/>
      </w:r>
      <w:r w:rsidRPr="00772E5C">
        <w:rPr>
          <w:rFonts w:ascii="Times New Roman" w:hAnsi="Times New Roman"/>
        </w:rPr>
        <w:t>Cross-Link Interference Mitigation for Dynamic TDD in Dense Urban Environments</w:t>
      </w:r>
      <w:r w:rsidR="005D22F9" w:rsidRPr="00772E5C">
        <w:rPr>
          <w:rFonts w:ascii="Times New Roman" w:hAnsi="Times New Roman"/>
        </w:rPr>
        <w:t>; Ericsson</w:t>
      </w:r>
      <w:bookmarkStart w:id="3" w:name="_GoBack"/>
      <w:bookmarkEnd w:id="2"/>
      <w:bookmarkEnd w:id="3"/>
    </w:p>
    <w:p w14:paraId="68309831" w14:textId="4A60BB52" w:rsidR="00164036" w:rsidRPr="00164036" w:rsidRDefault="00164036" w:rsidP="00164036">
      <w:pPr>
        <w:pStyle w:val="Reference"/>
        <w:rPr>
          <w:rFonts w:ascii="Times New Roman" w:hAnsi="Times New Roman"/>
        </w:rPr>
      </w:pPr>
      <w:bookmarkStart w:id="4" w:name="_Ref471752389"/>
      <w:r>
        <w:rPr>
          <w:rFonts w:ascii="Times New Roman" w:hAnsi="Times New Roman"/>
        </w:rPr>
        <w:t>R1-1701130</w:t>
      </w:r>
      <w:r w:rsidRPr="00983BE5">
        <w:rPr>
          <w:rFonts w:ascii="Times New Roman" w:hAnsi="Times New Roman"/>
        </w:rPr>
        <w:tab/>
        <w:t>Cross-Link Interference Mitigatio</w:t>
      </w:r>
      <w:r>
        <w:rPr>
          <w:rFonts w:ascii="Times New Roman" w:hAnsi="Times New Roman"/>
        </w:rPr>
        <w:t>n for Dynamic TDD in Indoor Hotspot</w:t>
      </w:r>
      <w:r w:rsidRPr="00983BE5">
        <w:rPr>
          <w:rFonts w:ascii="Times New Roman" w:hAnsi="Times New Roman"/>
        </w:rPr>
        <w:t xml:space="preserve"> Environments; Ericsson</w:t>
      </w:r>
      <w:bookmarkEnd w:id="4"/>
    </w:p>
    <w:p w14:paraId="48F43D62" w14:textId="549B10EC" w:rsidR="00756164" w:rsidRPr="00923E5B" w:rsidRDefault="00756164" w:rsidP="00756164">
      <w:pPr>
        <w:pStyle w:val="Reference"/>
        <w:rPr>
          <w:rFonts w:ascii="Times New Roman" w:eastAsia="MS Mincho" w:hAnsi="Times New Roman"/>
        </w:rPr>
      </w:pPr>
      <w:bookmarkStart w:id="5" w:name="_Ref471420124"/>
      <w:r w:rsidRPr="00772E5C">
        <w:rPr>
          <w:rFonts w:ascii="Times New Roman" w:eastAsia="MS Mincho" w:hAnsi="Times New Roman"/>
          <w:lang w:val="en-US" w:eastAsia="ja-JP"/>
        </w:rPr>
        <w:t>R1-1612525</w:t>
      </w:r>
      <w:r w:rsidR="00315C6B" w:rsidRPr="00923E5B">
        <w:rPr>
          <w:rFonts w:ascii="Times New Roman" w:eastAsia="MS Mincho" w:hAnsi="Times New Roman"/>
        </w:rPr>
        <w:tab/>
        <w:t xml:space="preserve">DL Common Control Signaling; </w:t>
      </w:r>
      <w:r w:rsidRPr="00923E5B">
        <w:rPr>
          <w:rFonts w:ascii="Times New Roman" w:eastAsia="MS Mincho" w:hAnsi="Times New Roman"/>
        </w:rPr>
        <w:t>Samsung</w:t>
      </w:r>
      <w:bookmarkEnd w:id="5"/>
    </w:p>
    <w:p w14:paraId="2A56ACF8" w14:textId="7DB674AE" w:rsidR="0062578F" w:rsidRPr="00923E5B" w:rsidRDefault="00756164" w:rsidP="005C1AD5">
      <w:pPr>
        <w:pStyle w:val="Reference"/>
        <w:rPr>
          <w:rFonts w:ascii="Times New Roman" w:eastAsia="MS Mincho" w:hAnsi="Times New Roman"/>
        </w:rPr>
      </w:pPr>
      <w:bookmarkStart w:id="6" w:name="_Ref471420270"/>
      <w:r w:rsidRPr="00772E5C">
        <w:rPr>
          <w:rFonts w:ascii="Times New Roman" w:eastAsia="MS Mincho" w:hAnsi="Times New Roman"/>
          <w:lang w:val="en-US" w:eastAsia="ja-JP"/>
        </w:rPr>
        <w:t>R1-1612120</w:t>
      </w:r>
      <w:r w:rsidRPr="00923E5B">
        <w:rPr>
          <w:rFonts w:ascii="Times New Roman" w:eastAsia="MS Mincho" w:hAnsi="Times New Roman"/>
        </w:rPr>
        <w:tab/>
        <w:t>D</w:t>
      </w:r>
      <w:r w:rsidR="00315C6B" w:rsidRPr="00923E5B">
        <w:rPr>
          <w:rFonts w:ascii="Times New Roman" w:eastAsia="MS Mincho" w:hAnsi="Times New Roman"/>
        </w:rPr>
        <w:t xml:space="preserve">L control channel design for NR; </w:t>
      </w:r>
      <w:r w:rsidRPr="00923E5B">
        <w:rPr>
          <w:rFonts w:ascii="Times New Roman" w:eastAsia="MS Mincho" w:hAnsi="Times New Roman"/>
        </w:rPr>
        <w:t>MediaTek Inc.</w:t>
      </w:r>
      <w:bookmarkEnd w:id="6"/>
    </w:p>
    <w:p w14:paraId="265944DE" w14:textId="77777777" w:rsidR="00D1371B" w:rsidRPr="00F502FF" w:rsidRDefault="00D1371B" w:rsidP="00772E5C">
      <w:pPr>
        <w:pStyle w:val="Reference"/>
        <w:numPr>
          <w:ilvl w:val="0"/>
          <w:numId w:val="0"/>
        </w:numPr>
        <w:ind w:left="567" w:hanging="567"/>
        <w:rPr>
          <w:rFonts w:ascii="Times New Roman" w:hAnsi="Times New Roman"/>
          <w:lang w:val="en-US"/>
        </w:rPr>
      </w:pPr>
    </w:p>
    <w:sectPr w:rsidR="00D1371B" w:rsidRPr="00F502F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224F5" w14:textId="77777777" w:rsidR="005C49D8" w:rsidRDefault="005C49D8" w:rsidP="00211CEE">
      <w:r>
        <w:separator/>
      </w:r>
    </w:p>
  </w:endnote>
  <w:endnote w:type="continuationSeparator" w:id="0">
    <w:p w14:paraId="5C85342D" w14:textId="77777777" w:rsidR="005C49D8" w:rsidRDefault="005C49D8" w:rsidP="0021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261D1" w14:textId="77777777" w:rsidR="005C49D8" w:rsidRDefault="005C49D8" w:rsidP="00211CEE">
      <w:r>
        <w:separator/>
      </w:r>
    </w:p>
  </w:footnote>
  <w:footnote w:type="continuationSeparator" w:id="0">
    <w:p w14:paraId="40EA4EDC" w14:textId="77777777" w:rsidR="005C49D8" w:rsidRDefault="005C49D8" w:rsidP="00211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E05F1A"/>
    <w:multiLevelType w:val="hybridMultilevel"/>
    <w:tmpl w:val="E4981A68"/>
    <w:lvl w:ilvl="0" w:tplc="DA4E82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F438B"/>
    <w:multiLevelType w:val="hybridMultilevel"/>
    <w:tmpl w:val="E71A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528F9"/>
    <w:multiLevelType w:val="hybridMultilevel"/>
    <w:tmpl w:val="01D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2D1F05"/>
    <w:multiLevelType w:val="hybridMultilevel"/>
    <w:tmpl w:val="8A38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5B08BA"/>
    <w:multiLevelType w:val="hybridMultilevel"/>
    <w:tmpl w:val="3782E3D6"/>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695ADB"/>
    <w:multiLevelType w:val="hybridMultilevel"/>
    <w:tmpl w:val="A81CC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54011"/>
    <w:multiLevelType w:val="hybridMultilevel"/>
    <w:tmpl w:val="2F7AA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F177B"/>
    <w:multiLevelType w:val="hybridMultilevel"/>
    <w:tmpl w:val="FFC6E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5"/>
  </w:num>
  <w:num w:numId="4">
    <w:abstractNumId w:val="34"/>
  </w:num>
  <w:num w:numId="5">
    <w:abstractNumId w:val="31"/>
  </w:num>
  <w:num w:numId="6">
    <w:abstractNumId w:val="26"/>
  </w:num>
  <w:num w:numId="7">
    <w:abstractNumId w:val="33"/>
  </w:num>
  <w:num w:numId="8">
    <w:abstractNumId w:val="32"/>
  </w:num>
  <w:num w:numId="9">
    <w:abstractNumId w:val="14"/>
  </w:num>
  <w:num w:numId="10">
    <w:abstractNumId w:val="8"/>
  </w:num>
  <w:num w:numId="11">
    <w:abstractNumId w:val="24"/>
  </w:num>
  <w:num w:numId="12">
    <w:abstractNumId w:val="35"/>
  </w:num>
  <w:num w:numId="13">
    <w:abstractNumId w:val="6"/>
  </w:num>
  <w:num w:numId="14">
    <w:abstractNumId w:val="9"/>
  </w:num>
  <w:num w:numId="15">
    <w:abstractNumId w:val="17"/>
  </w:num>
  <w:num w:numId="16">
    <w:abstractNumId w:val="10"/>
  </w:num>
  <w:num w:numId="17">
    <w:abstractNumId w:val="34"/>
  </w:num>
  <w:num w:numId="18">
    <w:abstractNumId w:val="23"/>
  </w:num>
  <w:num w:numId="19">
    <w:abstractNumId w:val="27"/>
  </w:num>
  <w:num w:numId="20">
    <w:abstractNumId w:val="12"/>
  </w:num>
  <w:num w:numId="21">
    <w:abstractNumId w:val="11"/>
  </w:num>
  <w:num w:numId="22">
    <w:abstractNumId w:val="30"/>
  </w:num>
  <w:num w:numId="23">
    <w:abstractNumId w:val="18"/>
  </w:num>
  <w:num w:numId="24">
    <w:abstractNumId w:val="22"/>
  </w:num>
  <w:num w:numId="25">
    <w:abstractNumId w:val="20"/>
  </w:num>
  <w:num w:numId="26">
    <w:abstractNumId w:val="25"/>
  </w:num>
  <w:num w:numId="27">
    <w:abstractNumId w:val="16"/>
  </w:num>
  <w:num w:numId="28">
    <w:abstractNumId w:val="28"/>
  </w:num>
  <w:num w:numId="29">
    <w:abstractNumId w:val="1"/>
  </w:num>
  <w:num w:numId="30">
    <w:abstractNumId w:val="0"/>
  </w:num>
  <w:num w:numId="31">
    <w:abstractNumId w:val="3"/>
  </w:num>
  <w:num w:numId="32">
    <w:abstractNumId w:val="4"/>
  </w:num>
  <w:num w:numId="33">
    <w:abstractNumId w:val="29"/>
  </w:num>
  <w:num w:numId="34">
    <w:abstractNumId w:val="2"/>
  </w:num>
  <w:num w:numId="35">
    <w:abstractNumId w:val="21"/>
  </w:num>
  <w:num w:numId="36">
    <w:abstractNumId w:val="15"/>
  </w:num>
  <w:num w:numId="37">
    <w:abstractNumId w:val="7"/>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DD1"/>
    <w:rsid w:val="000208D5"/>
    <w:rsid w:val="00024F13"/>
    <w:rsid w:val="0007006D"/>
    <w:rsid w:val="00074369"/>
    <w:rsid w:val="000934B0"/>
    <w:rsid w:val="00095694"/>
    <w:rsid w:val="000B32A5"/>
    <w:rsid w:val="000F370E"/>
    <w:rsid w:val="000F6217"/>
    <w:rsid w:val="00106ABF"/>
    <w:rsid w:val="00114B7E"/>
    <w:rsid w:val="00120184"/>
    <w:rsid w:val="00126173"/>
    <w:rsid w:val="00154D28"/>
    <w:rsid w:val="00157F3D"/>
    <w:rsid w:val="00164036"/>
    <w:rsid w:val="00170380"/>
    <w:rsid w:val="00171CC4"/>
    <w:rsid w:val="0017372B"/>
    <w:rsid w:val="00181499"/>
    <w:rsid w:val="001A531C"/>
    <w:rsid w:val="001B243C"/>
    <w:rsid w:val="001F0CAF"/>
    <w:rsid w:val="00203BC8"/>
    <w:rsid w:val="00211CEE"/>
    <w:rsid w:val="00213303"/>
    <w:rsid w:val="00214244"/>
    <w:rsid w:val="00230310"/>
    <w:rsid w:val="00234C4F"/>
    <w:rsid w:val="0028065B"/>
    <w:rsid w:val="00285078"/>
    <w:rsid w:val="00286B6D"/>
    <w:rsid w:val="002932E2"/>
    <w:rsid w:val="002A5567"/>
    <w:rsid w:val="002B2681"/>
    <w:rsid w:val="002B3246"/>
    <w:rsid w:val="002B501A"/>
    <w:rsid w:val="002E444B"/>
    <w:rsid w:val="002F021B"/>
    <w:rsid w:val="0030588F"/>
    <w:rsid w:val="00315C6B"/>
    <w:rsid w:val="00342FAC"/>
    <w:rsid w:val="0034475B"/>
    <w:rsid w:val="00382795"/>
    <w:rsid w:val="003A012E"/>
    <w:rsid w:val="003A6FD0"/>
    <w:rsid w:val="004267C8"/>
    <w:rsid w:val="00434CD6"/>
    <w:rsid w:val="00473A42"/>
    <w:rsid w:val="00473B97"/>
    <w:rsid w:val="0048093F"/>
    <w:rsid w:val="0048522F"/>
    <w:rsid w:val="004944FD"/>
    <w:rsid w:val="0049799A"/>
    <w:rsid w:val="004A2CB3"/>
    <w:rsid w:val="004B1C8B"/>
    <w:rsid w:val="004B22A5"/>
    <w:rsid w:val="004B7489"/>
    <w:rsid w:val="004C24A5"/>
    <w:rsid w:val="004E3B08"/>
    <w:rsid w:val="00514096"/>
    <w:rsid w:val="0052140E"/>
    <w:rsid w:val="00535A76"/>
    <w:rsid w:val="00550D0C"/>
    <w:rsid w:val="005514B5"/>
    <w:rsid w:val="005838EA"/>
    <w:rsid w:val="005B2E74"/>
    <w:rsid w:val="005C1AD5"/>
    <w:rsid w:val="005C49D8"/>
    <w:rsid w:val="005D0247"/>
    <w:rsid w:val="005D22F9"/>
    <w:rsid w:val="005E6AB8"/>
    <w:rsid w:val="00612133"/>
    <w:rsid w:val="00616376"/>
    <w:rsid w:val="00620449"/>
    <w:rsid w:val="0062578F"/>
    <w:rsid w:val="00627565"/>
    <w:rsid w:val="00663687"/>
    <w:rsid w:val="006A25A2"/>
    <w:rsid w:val="006A286A"/>
    <w:rsid w:val="006B481E"/>
    <w:rsid w:val="006C13F5"/>
    <w:rsid w:val="006D4A4B"/>
    <w:rsid w:val="00706C1E"/>
    <w:rsid w:val="0071156F"/>
    <w:rsid w:val="00756164"/>
    <w:rsid w:val="007666A8"/>
    <w:rsid w:val="00772E5C"/>
    <w:rsid w:val="00781BD8"/>
    <w:rsid w:val="007C4B51"/>
    <w:rsid w:val="007C695F"/>
    <w:rsid w:val="007C7533"/>
    <w:rsid w:val="00860EF4"/>
    <w:rsid w:val="00877096"/>
    <w:rsid w:val="008A0342"/>
    <w:rsid w:val="008C279E"/>
    <w:rsid w:val="00900739"/>
    <w:rsid w:val="00923E5B"/>
    <w:rsid w:val="00924E96"/>
    <w:rsid w:val="009366A8"/>
    <w:rsid w:val="0094076E"/>
    <w:rsid w:val="00942F98"/>
    <w:rsid w:val="00944526"/>
    <w:rsid w:val="0095172D"/>
    <w:rsid w:val="009659E5"/>
    <w:rsid w:val="009A0611"/>
    <w:rsid w:val="009B2253"/>
    <w:rsid w:val="009E275A"/>
    <w:rsid w:val="009E46CD"/>
    <w:rsid w:val="009E532C"/>
    <w:rsid w:val="00A0573C"/>
    <w:rsid w:val="00A5754B"/>
    <w:rsid w:val="00AB22FF"/>
    <w:rsid w:val="00AC2093"/>
    <w:rsid w:val="00B03ED8"/>
    <w:rsid w:val="00B07802"/>
    <w:rsid w:val="00B23572"/>
    <w:rsid w:val="00B249DB"/>
    <w:rsid w:val="00B33522"/>
    <w:rsid w:val="00B368D9"/>
    <w:rsid w:val="00B47915"/>
    <w:rsid w:val="00B83D57"/>
    <w:rsid w:val="00B857DA"/>
    <w:rsid w:val="00B91807"/>
    <w:rsid w:val="00BA4CC0"/>
    <w:rsid w:val="00BB1F6B"/>
    <w:rsid w:val="00BB2430"/>
    <w:rsid w:val="00BB3007"/>
    <w:rsid w:val="00BB7B54"/>
    <w:rsid w:val="00BC0FFC"/>
    <w:rsid w:val="00BC771C"/>
    <w:rsid w:val="00BE4063"/>
    <w:rsid w:val="00BF3253"/>
    <w:rsid w:val="00C10A46"/>
    <w:rsid w:val="00C11C26"/>
    <w:rsid w:val="00C136F7"/>
    <w:rsid w:val="00C1560A"/>
    <w:rsid w:val="00C40BC0"/>
    <w:rsid w:val="00C412F0"/>
    <w:rsid w:val="00C4274C"/>
    <w:rsid w:val="00C43CDE"/>
    <w:rsid w:val="00C62894"/>
    <w:rsid w:val="00C8496C"/>
    <w:rsid w:val="00C861F2"/>
    <w:rsid w:val="00CA5E5D"/>
    <w:rsid w:val="00CB5A40"/>
    <w:rsid w:val="00CC1CA7"/>
    <w:rsid w:val="00CC260C"/>
    <w:rsid w:val="00CE6CB0"/>
    <w:rsid w:val="00CF3CCA"/>
    <w:rsid w:val="00D03072"/>
    <w:rsid w:val="00D03E47"/>
    <w:rsid w:val="00D11328"/>
    <w:rsid w:val="00D1371B"/>
    <w:rsid w:val="00D537EB"/>
    <w:rsid w:val="00D53C00"/>
    <w:rsid w:val="00D577BB"/>
    <w:rsid w:val="00D84D5E"/>
    <w:rsid w:val="00DA7D33"/>
    <w:rsid w:val="00DB4BF2"/>
    <w:rsid w:val="00DB6F36"/>
    <w:rsid w:val="00DD11CB"/>
    <w:rsid w:val="00DE0D8A"/>
    <w:rsid w:val="00DE1BAA"/>
    <w:rsid w:val="00E10C1F"/>
    <w:rsid w:val="00E11846"/>
    <w:rsid w:val="00E20E32"/>
    <w:rsid w:val="00E50002"/>
    <w:rsid w:val="00E60A31"/>
    <w:rsid w:val="00E96B7C"/>
    <w:rsid w:val="00EB13C1"/>
    <w:rsid w:val="00EB26FB"/>
    <w:rsid w:val="00EB43CC"/>
    <w:rsid w:val="00EC5CD7"/>
    <w:rsid w:val="00ED5DB2"/>
    <w:rsid w:val="00F04377"/>
    <w:rsid w:val="00F346B4"/>
    <w:rsid w:val="00F47C53"/>
    <w:rsid w:val="00F502FF"/>
    <w:rsid w:val="00F618ED"/>
    <w:rsid w:val="00F81C1C"/>
    <w:rsid w:val="00F92325"/>
    <w:rsid w:val="00F92540"/>
    <w:rsid w:val="00FC1891"/>
    <w:rsid w:val="00FC5CC9"/>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ListParagraph">
    <w:name w:val="List Paragraph"/>
    <w:basedOn w:val="Normal"/>
    <w:uiPriority w:val="34"/>
    <w:qFormat/>
    <w:rsid w:val="00BF3253"/>
    <w:pPr>
      <w:ind w:left="720"/>
      <w:contextualSpacing/>
    </w:pPr>
  </w:style>
  <w:style w:type="paragraph" w:customStyle="1" w:styleId="Reference">
    <w:name w:val="Reference"/>
    <w:basedOn w:val="Normal"/>
    <w:link w:val="ReferenceChar"/>
    <w:qFormat/>
    <w:rsid w:val="00BF3253"/>
    <w:pPr>
      <w:numPr>
        <w:numId w:val="2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3253"/>
    <w:rPr>
      <w:rFonts w:ascii="Arial" w:hAnsi="Arial"/>
      <w:sz w:val="20"/>
      <w:szCs w:val="20"/>
      <w:lang w:val="en-GB" w:eastAsia="zh-CN"/>
    </w:rPr>
  </w:style>
  <w:style w:type="character" w:styleId="Hyperlink">
    <w:name w:val="Hyperlink"/>
    <w:uiPriority w:val="99"/>
    <w:rsid w:val="00A0573C"/>
    <w:rPr>
      <w:color w:val="0000FF"/>
      <w:u w:val="single"/>
    </w:rPr>
  </w:style>
  <w:style w:type="paragraph" w:styleId="TOC4">
    <w:name w:val="toc 4"/>
    <w:basedOn w:val="Normal"/>
    <w:next w:val="Normal"/>
    <w:autoRedefine/>
    <w:uiPriority w:val="39"/>
    <w:rsid w:val="00756164"/>
    <w:pPr>
      <w:tabs>
        <w:tab w:val="left" w:pos="1440"/>
        <w:tab w:val="right" w:leader="dot" w:pos="9631"/>
      </w:tabs>
      <w:ind w:left="601"/>
    </w:pPr>
    <w:rPr>
      <w:rFonts w:ascii="Times" w:eastAsia="Batang" w:hAnsi="Times"/>
      <w:lang w:val="en-GB"/>
    </w:rPr>
  </w:style>
  <w:style w:type="paragraph" w:customStyle="1" w:styleId="References">
    <w:name w:val="References"/>
    <w:basedOn w:val="Normal"/>
    <w:rsid w:val="00B249DB"/>
    <w:pPr>
      <w:numPr>
        <w:ilvl w:val="2"/>
        <w:numId w:val="30"/>
      </w:numPr>
    </w:pPr>
  </w:style>
  <w:style w:type="paragraph" w:styleId="Footer">
    <w:name w:val="footer"/>
    <w:basedOn w:val="Normal"/>
    <w:link w:val="FooterChar"/>
    <w:uiPriority w:val="99"/>
    <w:unhideWhenUsed/>
    <w:rsid w:val="00211CEE"/>
    <w:pPr>
      <w:tabs>
        <w:tab w:val="center" w:pos="4680"/>
        <w:tab w:val="right" w:pos="9360"/>
      </w:tabs>
    </w:pPr>
  </w:style>
  <w:style w:type="character" w:customStyle="1" w:styleId="FooterChar">
    <w:name w:val="Footer Char"/>
    <w:basedOn w:val="DefaultParagraphFont"/>
    <w:link w:val="Footer"/>
    <w:uiPriority w:val="99"/>
    <w:rsid w:val="00211CEE"/>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276935">
      <w:bodyDiv w:val="1"/>
      <w:marLeft w:val="0"/>
      <w:marRight w:val="0"/>
      <w:marTop w:val="0"/>
      <w:marBottom w:val="0"/>
      <w:divBdr>
        <w:top w:val="none" w:sz="0" w:space="0" w:color="auto"/>
        <w:left w:val="none" w:sz="0" w:space="0" w:color="auto"/>
        <w:bottom w:val="none" w:sz="0" w:space="0" w:color="auto"/>
        <w:right w:val="none" w:sz="0" w:space="0" w:color="auto"/>
      </w:divBdr>
    </w:div>
    <w:div w:id="172760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C3474-92E0-4D87-AC08-0CF533EB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 1</cp:lastModifiedBy>
  <cp:revision>3</cp:revision>
  <dcterms:created xsi:type="dcterms:W3CDTF">2017-01-10T05:26:00Z</dcterms:created>
  <dcterms:modified xsi:type="dcterms:W3CDTF">2017-01-10T05:27:00Z</dcterms:modified>
</cp:coreProperties>
</file>